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11" w:rsidRDefault="006D2A11" w:rsidP="006D2A11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color w:val="333333"/>
          <w:sz w:val="28"/>
          <w:szCs w:val="28"/>
        </w:rPr>
        <w:t>Уважаемые руководители организаций и индивидуальные предприниматели, работающие на территории Назаровского района!</w:t>
      </w:r>
    </w:p>
    <w:p w:rsidR="006D2A11" w:rsidRDefault="006D2A11" w:rsidP="006D2A11">
      <w:pPr>
        <w:shd w:val="clear" w:color="auto" w:fill="FFFFFF"/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Информация о минимальном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размере оплаты труда</w:t>
      </w:r>
      <w:proofErr w:type="gramEnd"/>
    </w:p>
    <w:p w:rsidR="00F068AB" w:rsidRPr="00F068AB" w:rsidRDefault="00F068AB" w:rsidP="00F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68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 1 января 2025 года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федеральный МРОТ составляет 22</w:t>
      </w:r>
      <w:r w:rsidRPr="00F068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440 рублей</w:t>
      </w:r>
      <w:r w:rsidRPr="00F068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  </w:t>
      </w:r>
    </w:p>
    <w:p w:rsidR="00F068AB" w:rsidRPr="00F068AB" w:rsidRDefault="00F068AB" w:rsidP="00F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68AB">
        <w:rPr>
          <w:rFonts w:ascii="Times New Roman" w:eastAsia="Times New Roman" w:hAnsi="Times New Roman" w:cs="Times New Roman"/>
          <w:color w:val="333333"/>
          <w:sz w:val="28"/>
          <w:szCs w:val="28"/>
        </w:rPr>
        <w:t>В Красноярском крае нет регионального соглашения о минимальной зарплате, поэтому действует федеральный МРОТ, увеличенный на районный коэффициент. Он разный в зависимости от населённого пункта — 1,3; 1,6 и 1,8. </w:t>
      </w:r>
      <w:hyperlink r:id="rId5" w:tgtFrame="_blank" w:history="1">
        <w:r w:rsidRPr="00F068A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1</w:t>
        </w:r>
      </w:hyperlink>
    </w:p>
    <w:p w:rsidR="00F068AB" w:rsidRPr="00F068AB" w:rsidRDefault="00F068AB" w:rsidP="00F06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68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Размер МРОТ в Красноярском крае в 2025 году с учётом районных коэффициентов</w:t>
      </w:r>
      <w:r w:rsidRPr="00F068AB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hyperlink r:id="rId6" w:tgtFrame="_blank" w:history="1">
        <w:r w:rsidRPr="00F068A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1</w:t>
        </w:r>
      </w:hyperlink>
    </w:p>
    <w:p w:rsidR="00F068AB" w:rsidRPr="00F068AB" w:rsidRDefault="00F068AB" w:rsidP="00F068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68AB">
        <w:rPr>
          <w:rFonts w:ascii="Times New Roman" w:eastAsia="Times New Roman" w:hAnsi="Times New Roman" w:cs="Times New Roman"/>
          <w:color w:val="333333"/>
          <w:sz w:val="28"/>
          <w:szCs w:val="28"/>
        </w:rPr>
        <w:t>город Норильск и местности севернее Полярного круга — </w:t>
      </w:r>
      <w:r w:rsidRPr="00F068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40 392 рубля</w:t>
      </w:r>
      <w:r w:rsidRPr="00F068AB">
        <w:rPr>
          <w:rFonts w:ascii="Times New Roman" w:eastAsia="Times New Roman" w:hAnsi="Times New Roman" w:cs="Times New Roman"/>
          <w:color w:val="333333"/>
          <w:sz w:val="28"/>
          <w:szCs w:val="28"/>
        </w:rPr>
        <w:t> (районный коэффициент 1,8); </w:t>
      </w:r>
      <w:hyperlink r:id="rId7" w:tgtFrame="_blank" w:history="1">
        <w:r w:rsidRPr="00F068A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1</w:t>
        </w:r>
      </w:hyperlink>
    </w:p>
    <w:p w:rsidR="00F068AB" w:rsidRPr="00F068AB" w:rsidRDefault="00F068AB" w:rsidP="00F068A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68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Таймырский национальный округ, северные части Эвенкийского национального округа и Туруханского района (севернее рек Нижняя Тунгуска и Турухан), города </w:t>
      </w:r>
      <w:proofErr w:type="spellStart"/>
      <w:r w:rsidRPr="00F068AB">
        <w:rPr>
          <w:rFonts w:ascii="Times New Roman" w:eastAsia="Times New Roman" w:hAnsi="Times New Roman" w:cs="Times New Roman"/>
          <w:color w:val="333333"/>
          <w:sz w:val="28"/>
          <w:szCs w:val="28"/>
        </w:rPr>
        <w:t>Игарка</w:t>
      </w:r>
      <w:proofErr w:type="spellEnd"/>
      <w:r w:rsidRPr="00F068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068AB">
        <w:rPr>
          <w:rFonts w:ascii="Times New Roman" w:eastAsia="Times New Roman" w:hAnsi="Times New Roman" w:cs="Times New Roman"/>
          <w:color w:val="333333"/>
          <w:sz w:val="28"/>
          <w:szCs w:val="28"/>
        </w:rPr>
        <w:t>Юхта</w:t>
      </w:r>
      <w:proofErr w:type="spellEnd"/>
      <w:r w:rsidRPr="00F068AB">
        <w:rPr>
          <w:rFonts w:ascii="Times New Roman" w:eastAsia="Times New Roman" w:hAnsi="Times New Roman" w:cs="Times New Roman"/>
          <w:color w:val="333333"/>
          <w:sz w:val="28"/>
          <w:szCs w:val="28"/>
        </w:rPr>
        <w:t>, Ногинск — </w:t>
      </w:r>
      <w:r w:rsidRPr="00F068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35 904 рубля</w:t>
      </w:r>
      <w:r w:rsidRPr="00F068AB">
        <w:rPr>
          <w:rFonts w:ascii="Times New Roman" w:eastAsia="Times New Roman" w:hAnsi="Times New Roman" w:cs="Times New Roman"/>
          <w:color w:val="333333"/>
          <w:sz w:val="28"/>
          <w:szCs w:val="28"/>
        </w:rPr>
        <w:t> (районный коэффициент 1,6); </w:t>
      </w:r>
      <w:hyperlink r:id="rId8" w:tgtFrame="_blank" w:history="1">
        <w:r w:rsidRPr="00F068A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1</w:t>
        </w:r>
      </w:hyperlink>
    </w:p>
    <w:p w:rsidR="00F068AB" w:rsidRPr="00F068AB" w:rsidRDefault="00F068AB" w:rsidP="00F068A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68AB">
        <w:rPr>
          <w:rFonts w:ascii="Times New Roman" w:eastAsia="Times New Roman" w:hAnsi="Times New Roman" w:cs="Times New Roman"/>
          <w:color w:val="333333"/>
          <w:sz w:val="28"/>
          <w:szCs w:val="28"/>
        </w:rPr>
        <w:t>остальная территория края — </w:t>
      </w:r>
      <w:r w:rsidRPr="00F068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29 172 рубля</w:t>
      </w:r>
      <w:r w:rsidRPr="00F068AB">
        <w:rPr>
          <w:rFonts w:ascii="Times New Roman" w:eastAsia="Times New Roman" w:hAnsi="Times New Roman" w:cs="Times New Roman"/>
          <w:color w:val="333333"/>
          <w:sz w:val="28"/>
          <w:szCs w:val="28"/>
        </w:rPr>
        <w:t> (районный коэффициент 1,3). </w:t>
      </w:r>
      <w:hyperlink r:id="rId9" w:tgtFrame="_blank" w:history="1">
        <w:r w:rsidRPr="00F068A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1</w:t>
        </w:r>
      </w:hyperlink>
    </w:p>
    <w:p w:rsidR="006D2A11" w:rsidRDefault="006D2A11" w:rsidP="00F068AB">
      <w:pPr>
        <w:pStyle w:val="a3"/>
        <w:shd w:val="clear" w:color="auto" w:fill="FFFFFF"/>
        <w:spacing w:before="0" w:beforeAutospacing="0" w:after="200" w:afterAutospacing="0"/>
        <w:ind w:firstLine="708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В соответствии со статьей 133 Трудового кодекса РФ месячная заработная плата работника, полностью отработавшего за этот период норму рабочего времени и выполнившего нормы труда, не может быть ниже минимального размера оплаты труда.</w:t>
      </w:r>
    </w:p>
    <w:p w:rsidR="006D2A11" w:rsidRDefault="006D2A11" w:rsidP="006D2A11">
      <w:pPr>
        <w:pStyle w:val="a3"/>
        <w:shd w:val="clear" w:color="auto" w:fill="FFFFFF"/>
        <w:spacing w:before="0" w:beforeAutospacing="0" w:after="20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Администрация Назаровского района рекомендует работодателям привести в соответствие правоустанавливающие документы, регламентирующие трудовые отношения с работниками.</w:t>
      </w:r>
    </w:p>
    <w:p w:rsidR="00896ED3" w:rsidRDefault="00896ED3"/>
    <w:sectPr w:rsidR="00896ED3" w:rsidSect="00C1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7544"/>
    <w:multiLevelType w:val="multilevel"/>
    <w:tmpl w:val="F3F8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938"/>
    <w:rsid w:val="006D2A11"/>
    <w:rsid w:val="00896ED3"/>
    <w:rsid w:val="00BE598B"/>
    <w:rsid w:val="00C170CD"/>
    <w:rsid w:val="00EF5938"/>
    <w:rsid w:val="00F0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CD"/>
  </w:style>
  <w:style w:type="paragraph" w:styleId="1">
    <w:name w:val="heading 1"/>
    <w:basedOn w:val="a"/>
    <w:link w:val="10"/>
    <w:uiPriority w:val="9"/>
    <w:qFormat/>
    <w:rsid w:val="00EF5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9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F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2A11"/>
    <w:rPr>
      <w:b/>
      <w:bCs/>
    </w:rPr>
  </w:style>
  <w:style w:type="paragraph" w:customStyle="1" w:styleId="futurismarkdown-paragraph">
    <w:name w:val="futurismarkdown-paragraph"/>
    <w:basedOn w:val="a"/>
    <w:rsid w:val="00F0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068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s.tinkoff.ru/buhgalteriya/mrot-krasnoyarskiy-kr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crets.tinkoff.ru/buhgalteriya/mrot-krasnoyarskiy-kr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crets.tinkoff.ru/buhgalteriya/mrot-krasnoyarskiy-kra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ecrets.tinkoff.ru/buhgalteriya/mrot-krasnoyarskiy-kra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crets.tinkoff.ru/buhgalteriya/mrot-krasnoyarskiy-kr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2023-02-07T04:50:00Z</dcterms:created>
  <dcterms:modified xsi:type="dcterms:W3CDTF">2025-02-04T05:45:00Z</dcterms:modified>
</cp:coreProperties>
</file>